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C4EFA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 w:rsidP="000C4EFA">
            <w:pPr>
              <w:pStyle w:val="capu1"/>
              <w:jc w:val="right"/>
            </w:pPr>
            <w:bookmarkStart w:id="0" w:name="_GoBack"/>
            <w:r>
              <w:t>УТВЕРЖДЕНО</w:t>
            </w:r>
          </w:p>
          <w:p w:rsidR="000C4EFA" w:rsidRDefault="000C4EFA" w:rsidP="000C4EFA">
            <w:pPr>
              <w:pStyle w:val="cap1"/>
              <w:jc w:val="right"/>
            </w:pPr>
            <w:r>
              <w:t xml:space="preserve">Постановление </w:t>
            </w:r>
            <w:r>
              <w:br/>
              <w:t>Министерства</w:t>
            </w:r>
            <w:r>
              <w:br/>
              <w:t xml:space="preserve">по налогам и сборам </w:t>
            </w:r>
            <w:r>
              <w:br/>
              <w:t>Республики Беларусь</w:t>
            </w:r>
          </w:p>
          <w:p w:rsidR="000C4EFA" w:rsidRDefault="000C4EFA" w:rsidP="000C4EFA">
            <w:pPr>
              <w:pStyle w:val="cap1"/>
              <w:jc w:val="right"/>
            </w:pPr>
            <w:r>
              <w:t xml:space="preserve">31.12.2010 № </w:t>
            </w:r>
            <w:bookmarkEnd w:id="0"/>
            <w:r>
              <w:t>96</w:t>
            </w:r>
          </w:p>
        </w:tc>
      </w:tr>
    </w:tbl>
    <w:p w:rsidR="000C4EFA" w:rsidRDefault="000C4EFA">
      <w:pPr>
        <w:pStyle w:val="titleu"/>
        <w:rPr>
          <w:lang w:val="ru-RU"/>
        </w:rPr>
      </w:pPr>
      <w:r>
        <w:rPr>
          <w:lang w:val="ru-RU"/>
        </w:rPr>
        <w:t>ИНСТРУКЦИЯ</w:t>
      </w:r>
      <w:r>
        <w:rPr>
          <w:lang w:val="ru-RU"/>
        </w:rPr>
        <w:br/>
        <w:t>о порядке заполнения заявлений о постановке на учет в налоговом органе и сообщения юридического лица о создании или ликвидации филиалов, представительств и иных обособленных подразделений юридического лица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1. Настоящая Инструкция регулирует порядок заполнения заявлений о постановке на учет в налоговом органе и сообщений юридического лица Республики Беларусь о создании или ликвидации филиалов, представительств или иных обособленных подразделений юридических лиц Республики Беларусь (в том числе организационных структур профессиональных союзов (республиканских союзов (ассоциаций) и иных объединений профессиональных союзов), политических партий, иных общественных объединений, республиканских государственно-общественных объединений, не наделенных правами юридического лица), которые в соответствии с учетной политикой этих юридических лиц осуществляют ведение бухгалтерского учета с определением финансового результата по их деятельности и 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 (далее в настоящей главе, главах 5 и 7 настоящей Инструкции – филиал).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2. Заявления о постановке на учет в налоговом органе и сообщения юридического лица Республики Беларусь о создании или ликвидации филиалов заполняются разборчиво вручную или с применением средств оргтехники. Исправления в таких документах не допускаются. Налоговые органы обеспечивают плательщиков бланками документов бесплатно.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ЗАЯВЛЕНИЕ О ПОСТАНОВКЕ НА УЧЕТ В НАЛОГОВОМ ОРГАНЕ ГОСУДАРСТВЕННОГО ОРГАНА, ГОСУДАРСТВЕННОГО ЮРИДИЧЕСКОГО ЛИЦА, ПОЛОЖЕНИЕ О КОТОРОМ УТВЕРЖДЕНО АКТОМ ЗАКОНОДАТЕЛЬСТВА, ДОВЕРИТЕЛЬНОГО УПРАВЛЯЮЩЕГО, ПРОСТОГО ТОВАРИЩЕСТВА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3. Заявление о постановке на учет в налоговом органе по форме согласно приложению 1 к постановлению, утвердившему настоящую Инструкцию, подается государственным органом, государственным юридическим лицом, положение о котором утверждено актом законодательства, простым товариществом, доверительным управляющим.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4. В верхней части документа указывается наименование налогового органа, в который представляется заявление, согласно приложению 1.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Реквизит «УНП»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5. В пункте 1 указывается полное наименование (включая указание на организационно-правовую форму) плательщика. Наименование указывается в соответствии с учредительными документами, нормативными правовыми актами, в соответствии с которыми образован плательщик.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lastRenderedPageBreak/>
        <w:t>При заполнении заявления о постановке на учет простого товарищества указываются полное наименование (фамилия, собственное имя, отчество (если таковое имеется) юридического лица (физического лица) – участника договора простого товарищества, на которое возложено ведение дел простого товарищества (далее – товарищ), и слова «(простое товарищество)».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заявления о постановке на учет доверительного управляющего указываются полное наименование (фамилия, собственное имя, отчество (если таковое имеется) юридического лица (физического лица) доверительного управляющего и слова «(доверительный управляющий)».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Количество символов при заполнении пункта 1 не должно превышать 250. Разрешается использовать любые буквы и цифры, а также следующие специальные знаки: «-» (дефис), «/» (дробь), «.» (точка), «,» (запятая), «”“» (кавычки), «()» (скобки).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6. В пункте 2 указывается сокращенное наименование плательщика в соответствии с учредительными документами, нормативными правовыми актами, в соответствии с которыми он образован.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заявления о постановке на учет простого товарищества указывается сокращенное наименование товарища. При заполнении заявления о постановке на учет доверительного управляющего указывается сокращенное наименование доверительного управляющего.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Количество символов не должно превышать 250. Разрешается использовать буквы, цифры и знаки в соответствии с правилами заполнения пункта 1.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7. В пункте 3 указывается фирменное наименование плательщика в соответствии с учредительными документами, нормативными правовыми актами, в соответствии с которыми он образован.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заявления о постановке на учет простого товарищества указывается фирменное наименование товарища.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заявления о постановке на учет доверительного управляющего указывается фирменное наименование доверительного управляющего.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Количество символов не должно превышать 250. Разрешается использовать буквы, цифры и знаки в соответствии с правилами заполнения пункта 1.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8. В пункте 4 указывается место нахождения плательщика – организации согласно статье 16 Налогового кодекса Республики Беларусь.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подпункте 4.1 указывается почтовый индекс (количество символов – 6). Подпункт 4.2 заполняется налоговым органом, принявшим заявление. В подпунктах 4.3–4.12 указываются наименование области, района, сельсовета, тип и наименование населенного пункта, тип (сокращенное обозначение) и наименование элемента улично-дорожной сети и приравненного к нему элемента градостроительной планировочной структуры (далее – тип элемента (сокращенное обозначение) и наименование элемента улично-дорожной сети), номера дома, корпуса (при наличии), помещения, тип помещения. В подпункте 4.13 указываются дополнительные сведения об адресе, не указанные в подпунктах 4.3–4.12 (при наличии).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Сокращенные обозначения типов элементов улично-дорожной сети и приравненных к ним элементов градостроительной планировочной структуры указываются по справочнику типов элементов улично-дорожной сети и приравненных к ним элементов градостроительной планировочной структуры согласно приложению 2.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9. В пункте 5 указывается номер телефона с учетом кода междугородной связи по формату: MMMM-XXXXXXX, где MMMM – код междугородной связи, XXXXXXX – номер телефона, а также номер мобильного телефона (при его наличии) с указанием кода страны (1–3 знака) для сетей электросвязи, кода идентификации сети электросвязи и абонентского номера по формату: NNN-YY-ААААААА, где NNN – код страны, YY – код идентификации сети, ААААААА – абонентский номер.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10. В пункте 6 указывается электронный адрес.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lastRenderedPageBreak/>
        <w:t>Пункты 7–9, 13 заполняются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11. В пункте 10 указываются (при наличии) код и наименование органа государственной власти и управления, в ведении (подчинении) которого находится плательщик, согласно классификатору ОКРБ 004-2001 «Органы государственной власти и управления», утвержденному постановлением Комитета по стандартизации, метрологии и сертификации при Совете Министров Республики Беларусь от 28 декабря 2001 г. № 52.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12. В пункте 11 указываются код и наименование основного вида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 (далее – ОКРБ «Виды экономической деятельности»).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13. В пункте 12 указываются код и наименование дополнительных видов деятельности в соответствии с ОКРБ «Виды экономической деятельности».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14. В пункте 14 указываются сведения о руководителе плательщика. Фамилия, собственное имя и отчество (если таковое имеется) указываются без сокращений (подпункт 14.1). Номер телефона указывается с учетом кода междугородной связи по формату: MMMM-XXXXXXX, где MMMM – код междугородной связи, XXXXXXX – номер телефона, а также номер мобильного телефона (при его наличии) с указанием кода страны (1–3 знака) для сетей электросвязи, кода идентификации сети электросвязи и абонентского номера по формату: NNN-YY-ААААААА, где NNN – код страны, YY – код идентификации сети, ААААААА – абонентский номер (подпункт 14.3). Если в качестве руководителя выступает юридическое лицо – управляющая организация, то в подпункте 14.1 указывается полное наименование такого юридического лица, в подпункте 14.1</w:t>
      </w:r>
      <w:r>
        <w:rPr>
          <w:vertAlign w:val="superscript"/>
          <w:lang w:val="ru-RU"/>
        </w:rPr>
        <w:t>1</w:t>
      </w:r>
      <w:r>
        <w:rPr>
          <w:lang w:val="ru-RU"/>
        </w:rPr>
        <w:t> – его УНП, подпункт 14.2 в данном случае не заполняется.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15. В пункте 15 указываются сведения о лице, осуществляющем руководство бухгалтерским учетом плательщика (главный бухгалтер, бухгалтер (при отсутствии в штате должности главного бухгалтера), руководитель (бухгалтер, главный бухгалтер) организации, оказывающей услуги по ведению бухгалтерского учета и составлению отчетности, государственного учреждения, созданного для обеспечения деятельности бюджетных организаций, указанных в абзацах втором–четвертом части второй пункта 1 Указа Президента Республики Беларусь от 23 декабря 2019 г. № 475 «Об обеспечении деятельности бюджетных организаций», или индивидуальный предприниматель, оказывающий услуги по ведению бухгалтерского учета и составлению отчетности). Фамилия, собственное имя и отчество (если таковое имеется) указываются без сокращений (подпункт 15.1). Подпункт 15.3 заполняется с учетом правил заполнения подпункта 14.3 пункта 14.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 xml:space="preserve">16. В пункте 16 указываются сведения о собственнике имущества (учредителях, участниках), товарищах, </w:t>
      </w:r>
      <w:proofErr w:type="spellStart"/>
      <w:r>
        <w:rPr>
          <w:lang w:val="ru-RU"/>
        </w:rPr>
        <w:t>вверителях</w:t>
      </w:r>
      <w:proofErr w:type="spellEnd"/>
      <w:r>
        <w:rPr>
          <w:lang w:val="ru-RU"/>
        </w:rPr>
        <w:t xml:space="preserve"> или выгодоприобретателях, органах, принявших решение об образовании государственных органов. В каждой строке таблицы указывается следующая информация об учредителях, участниках, товарищах, </w:t>
      </w:r>
      <w:proofErr w:type="spellStart"/>
      <w:r>
        <w:rPr>
          <w:lang w:val="ru-RU"/>
        </w:rPr>
        <w:t>вверителях</w:t>
      </w:r>
      <w:proofErr w:type="spellEnd"/>
      <w:r>
        <w:rPr>
          <w:lang w:val="ru-RU"/>
        </w:rPr>
        <w:t xml:space="preserve"> или выгодоприобретателях, органах, принявших решение об образовании государственных органов: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графе 1 – порядковый номер записи;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графе 2 – код признака «резидент, нерезидент»: код 1 – резидент Республики Беларусь, код 2 – нерезидент Республики Беларусь;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графе 3 – тип и код типа плательщика. Графа заполняется налоговым органом, принявшим заявление;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 xml:space="preserve">в графе 4 – учетный номер плательщика (далее – УНП) собственника имущества (учредителя, участника), товарища, </w:t>
      </w:r>
      <w:proofErr w:type="spellStart"/>
      <w:r>
        <w:rPr>
          <w:lang w:val="ru-RU"/>
        </w:rPr>
        <w:t>вверителя</w:t>
      </w:r>
      <w:proofErr w:type="spellEnd"/>
      <w:r>
        <w:rPr>
          <w:lang w:val="ru-RU"/>
        </w:rPr>
        <w:t xml:space="preserve"> или выгодоприобретателя, органа, принявшего решение об образовании государственного органа, согласно извещению о присвоении УНП (при наличии) (графа 4.1). Для иностранной организации указывается ее </w:t>
      </w:r>
      <w:r>
        <w:rPr>
          <w:lang w:val="ru-RU"/>
        </w:rPr>
        <w:lastRenderedPageBreak/>
        <w:t>регистрационный (идентификационный) номер, присвоенный в соответствии с законодательством страны ее места нахождения для целей налогообложения (графа 4.2);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 xml:space="preserve">в графе 5 – полное наименование или фамилия, собственное имя, отчество (если таковое имеется) собственника имущества (учредителя, участника), товарища, </w:t>
      </w:r>
      <w:proofErr w:type="spellStart"/>
      <w:r>
        <w:rPr>
          <w:lang w:val="ru-RU"/>
        </w:rPr>
        <w:t>вверителя</w:t>
      </w:r>
      <w:proofErr w:type="spellEnd"/>
      <w:r>
        <w:rPr>
          <w:lang w:val="ru-RU"/>
        </w:rPr>
        <w:t xml:space="preserve"> или выгодоприобретателя, органа, принявшего решение об образовании государственного органа (без сокращений), согласно нормативным правовым актам, в соответствии с которыми они образованы, договору простого товарищества, документу, удостоверяющему личность физического лица;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 xml:space="preserve">в графах 6.1–6.11 – адрес места нахождения или места жительства собственника имущества (учредителя, участника), товарища, </w:t>
      </w:r>
      <w:proofErr w:type="spellStart"/>
      <w:r>
        <w:rPr>
          <w:lang w:val="ru-RU"/>
        </w:rPr>
        <w:t>вверителя</w:t>
      </w:r>
      <w:proofErr w:type="spellEnd"/>
      <w:r>
        <w:rPr>
          <w:lang w:val="ru-RU"/>
        </w:rPr>
        <w:t xml:space="preserve"> или выгодоприобретателя, органа, принявшего решение об образовании государственного органа (в соответствии с нормативными правовыми актами, в соответствии с которыми они образованы, договором простого товарищества, документом, удостоверяющим личность физического лица): наименование области, района, сельсовета, тип и наименование населенного пункта, тип (сокращенное обозначение) и наименование элемента улично-дорожной сети по справочнику типов элементов улично-дорожной сети и приравненных к ним элементов градостроительной планировочной структуры согласно приложению 2, номера дома, корпуса (при наличии) и помещения, тип помещения. Буквы, цифры и специальные знаки используются в соответствии с правилами заполнения пункта 1;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графах 7.1–7.6 – указываются данные документа, удостоверяющего личность: вид, серия (при наличии) документа, идентификационный номер, номер документа, дата его выдачи, наименование органа, выдавшего документ;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графы 8–10 заполняются, если товарищ является нерезидентом Республики Беларусь. Графа 8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17. В пункте 17 указываются сведения о договорах доверительного управления имуществом: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графе 1 – порядковый номер записи;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 xml:space="preserve">в графах 2–5 – наименование или фамилия, собственное имя, отчество (если таковое имеется) </w:t>
      </w:r>
      <w:proofErr w:type="spellStart"/>
      <w:r>
        <w:rPr>
          <w:lang w:val="ru-RU"/>
        </w:rPr>
        <w:t>вверителя</w:t>
      </w:r>
      <w:proofErr w:type="spellEnd"/>
      <w:r>
        <w:rPr>
          <w:lang w:val="ru-RU"/>
        </w:rPr>
        <w:t xml:space="preserve"> или выгодоприобретателя, номер, дата заключения, срок действия договора доверительного управления имуществом.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18. В пункте 18 указываются сведения о нормативных правовых актах, в соответствии с которыми образован государственный орган, государственное юридическое лицо: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графе 1 – порядковый номер записи;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графах 2–5 – вид, название, дата принятия (издания) и регистрационный номер нормативного правового акта.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19. В строке «дата подачи заявления» указывается дата подачи заявления по формату: ДД.ММ.ГГГГ, где ДД – число, ММ – месяц, ГГГГ – год.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20. Реквизиты, сведения по которым отсутствуют, не заполняются, и ставится знак «–» (прочерк).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ЗАЯВЛЕНИЕ О ПОСТАНОВКЕ НА УЧЕТ В НАЛОГОВОМ ОРГАНЕ ИНОСТРАННОЙ ОРГАНИЗАЦИИ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21. Заявление о постановке на учет в налоговом органе иностранной организации заполняется по форме согласно приложению 2 к постановлению, утвердившему настоящую Инструкцию, в следующем порядке.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22. В верхней части документа указывается наименование налогового органа, в который представляется заявление, согласно приложению 1.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Реквизит «УНП»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23. В разделе А «Сведения об иностранной организации»: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 xml:space="preserve">в пункте 1 указывается полное наименование (включая указание на организационно-правовую форму) иностранной организации. Наименование заполняется на языке, на </w:t>
      </w:r>
      <w:r>
        <w:rPr>
          <w:lang w:val="ru-RU"/>
        </w:rPr>
        <w:lastRenderedPageBreak/>
        <w:t>котором указано наименование организации в учредительных документах (в выписке из торгового регистра страны ее места нахождения или ином эквивалентном доказательстве юридического статуса иностранной организации в соответствии с законодательством страны ее места нахождения (далее – выписка из торгового регистра страны ее места нахождения). Количество символов при заполнении пункта 1 не должно превышать 250. Разрешается использовать любые буквы и цифры, а также следующие специальные знаки: «-» (дефис), «/» (дробь), «.» (точка), «,» (запятая), «”“» (кавычки), «()» (скобки);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2 указывается наименование иностранной организации на белорусском или русском языке, на которые переведены учредительные документы (выписка из торгового регистра страны ее места нахождения) (далее – язык перевода);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3 указывается фирменное наименование иностранной организации в соответствии с учредительными документами. Количество символов не должно превышать 250. Разрешается использовать буквы, цифры и знаки в соответствии с правилами заполнения пункта 1 данного раздела;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4 указывается присвоенный иностранной организации УНП. Иностранной организацией, впервые обратившейся в налоговый орган для постановки на учет, данный пункт не заполняется;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5 указывается регистрационный (идентификационный) номер иностранной организации, присвоенный ей в соответствии с законодательством государства по месту нахождения для целей налогообложения;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6 указывается фирменное наименование иностранной организации на языке перевода;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7 указывается место нахождения иностранной организации в стране ее места нахождения. Адрес места нахождения иностранной организации заполняется на языке, на котором указан адрес в учредительных документах (в выписке из торгового регистра страны ее места нахождения). Код страны заполняется налоговым органом, принявшим заявление. При заполнении пункта 7 названия области, района, населенного пункта, типа элемента (сокращенное обозначение) и наименование элемента улично-дорожной сети, номера дома и квартиры разделяются запятыми;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в пункте 8 указывается адрес электронной почты.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24. В разделе Б «Сведения о представительстве, объекте недвижимости, аттракционе, зверинце, культурно-зрелищном мероприятии, постоянном представительстве иностранной организации в Республике Беларусь»: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1 указываются: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подпункте 1.1: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открытии представительства – слово «представительство»;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приобретении иностранной организацией права собственности, иных прав на недвижимое имущество, находящееся на территории Республики Беларусь, – вид объекта недвижимости;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проведении аттракционов, зверинцев и (или) организации и проведении культурно-зрелищных мероприятий – вид аттракциона, зверинца, культурно-зрелищного мероприятия;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осуществлении иностранной организацией предпринимательской деятельности на территории Республики Беларусь через организацию или физическое лицо, признаваемых постоянным представительством, – наименование организации или фамилия, собственное имя, отчество (если таковое имеется) физического лица, признаваемых постоянным представительством иностранной организации;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открытии филиала – слово «филиал»;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подпункте 1.2 – фирменное наименование организации. В случае отсутствия фирменного наименования проставляется знак «–» (прочерк);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2 указываются: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lastRenderedPageBreak/>
        <w:t>при открытии представительства – место нахождения представительства в Республике Беларусь;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приобретении иностранной организацией права собственности, иных прав на недвижимое имущество, находящееся на территории Республики Беларусь, – место нахождения объекта недвижимости;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проведении аттракционов, зверинцев и (или) организации и проведении культурно-зрелищных мероприятий – место проведения аттракциона, зверинца и (или) культурно-зрелищного мероприятия;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открытии филиала – место нахождения филиала в Республике Беларусь;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осуществлении иностранной организацией предпринимательской деятельности на территории Республики Беларусь через организацию или физическое лицо, признаваемых постоянным представительством, – место нахождения организации либо место жительства физического лица в Республике Беларусь, признаваемых постоянным представительством;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указании почтового индекса количество символов – 6. Подпункт 2.2 заполняется налоговым органом, принявшим заявление. При заполнении подпунктов 2.3 и 2.4 названия области, района, населенного пункта, типа элемента (сокращенное обозначение) и наименование элемента улично-дорожной сети, номера дома и квартиры разделяются запятыми. Сокращенные обозначения типов элементов улично-дорожной сети и приравненных к ним элементов градостроительной планировочной структуры указываются согласно приложению 2;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2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указывается номер текущего (расчетного) счета, открытого в банке на территории Республики Беларусь иностранной организацией, открывшей филиал;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пункты 3 и 4 заполняются налоговым органом, принявшим заявление;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5 указываются код и наименование основного вида экономической деятельности в соответствии с ОКРБ «Виды экономической деятельности»;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6 указываются сведения о лице, уполномоченном иностранной организацией на совершение сделок, иных юридически значимых действий от имени иностранной организации, включая полномочия на представление ее интересов в отношениях, регулируемых налоговым законодательством. Фамилия, собственное имя и отчество (если таковое имеется) указываются без сокращений (подпункт 6.1). Подпункт 6.2 заполняется согласно документу, удостоверяющему личность. Код документа, удостоверяющего личность, заполняется налоговым органом согласно приложению 3. Номер телефона указывается с учетом кода междугородной связи по формату: MMMM-XXXXXXX, где ММММ – код междугородной связи, XXXXXXX – номер телефона, а также номер мобильного телефона (при его наличии) с указанием кода страны (1–3 знака) для сетей электросвязи, кода идентификации сети электросвязи и абонентского номера по формату: NNN-YY-ААААААА, где NNN – код страны, YY – код идентификации сети, ААААААА – абонентский номер (подпункт 6.3);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7 указываются сведения о лице, осуществляющем руководство бухгалтерским учетом плательщика (главный бухгалтер, бухгалтер (при отсутствии в штате должности главного бухгалтера), руководитель (бухгалтер, главный бухгалтер) организации, оказывающей услуги по ведению бухгалтерского учета и отчетности, или специалист-бухгалтер, являющийся индивидуальным предпринимателем). Фамилия, собственное имя и отчество (если таковое имеется) указываются без сокращений (подпункт 7.1). Подпункт 7.2 заполняется согласно документу, удостоверяющему личность. Код документа, удостоверяющего личность, заполняется налоговым органом в соответствии с приложением 3. Подпункт 7.3 заполняется с учетом правил заполнения подпункта 6.3 пункта 6;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 8 указываются дополнительные сведения о плательщике;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строке «дата подачи заявления» указывается дата подачи заявления по формату: ДД.ММ.ГГГГ, где ДД – число, ММ – месяц, ГГГГ – год.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lastRenderedPageBreak/>
        <w:t>25. Реквизиты, сведения по которым отсутствуют, не заполняются, и ставится знак «–» (прочерк).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4</w:t>
      </w:r>
      <w:r>
        <w:rPr>
          <w:lang w:val="ru-RU"/>
        </w:rPr>
        <w:br/>
        <w:t>ЗАЯВЛЕНИЕ О ПОСТАНОВКЕ НА УЧЕТ В НАЛОГОВОМ ОРГАНЕ ФИЗИЧЕСКОГО ЛИЦА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26. Заявление о постановке на учет в налоговом органе физического лица по форме согласно приложению 3 к постановлению, утвердившему настоящую Инструкцию, подается физическими лицами, за исключением индивидуальных предпринимателей и нотариусов.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27. В верхней части документа указывается наименование налогового органа, в который подается заявление, в соответствии с приложением 1.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Реквизит «УНП»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28. В пунктах 1–3 указываются фамилия, собственное имя, отчество (если таковое имеется) физического лица согласно документу, удостоверяющему личность.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29. В пункте 4 указывается дата рождения по формату: ДД.ММ.ГГГГ, где ДД – число, ММ – месяц, ГГГГ – год.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30. В пункте 5 указываются гражданство (подданство) физического лица и код страны согласно общегосударственному классификатору Республики Беларусь ОКРБ 017-99 «Страны мира», утвержденному постановлением Государственного комитета по стандартизации, метрологии и сертификации Республики Беларусь от 16 июня 1999 г. № 8. При отсутствии гражданства (подданства) ставится прочерк.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31. Пункты 6 и 7 заполняются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32. Пункт 8 заполняется согласно документу, удостоверяющему личность. Код документа, удостоверяющего личность, заполняется налоговым органом согласно приложению 3.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33. В пункте 9 указываются данные о месте жительства физического лица согласно статье 18 Налогового кодекса Республики Беларусь. При указании почтового индекса в подпункте 9.1 количество символов – 6. Подпункт 9.2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34. В пункте 10 указывается номер телефона с учетом кода междугородной связи по формату: MMMM-XXXXXXX, где MMMM – код междугородной связи, XXXXXXX – номер телефона, а также номер мобильного телефона (при его наличии) с указанием кода страны (1–3 знака) для сетей электросвязи, кода идентификации сети электросвязи и абонентского номера по формату: NNN-YY-ААААААА, где NNN – код страны, YY – код идентификации сети, ААААААА – абонентский номер.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35. Исключен.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36. В строке о заполнении заявления указываются фамилия, собственное имя, отчество (если таковое имеется) плательщика, его представителя, данные документа, удостоверяющие личность представителя, дата выдачи и срок действия доверенности (для уполномоченного представителя).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37. Реквизиты, сведения по которым отсутствуют, не заполняются, и ставится знак «–» (прочерк).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38. Исключен.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5</w:t>
      </w:r>
      <w:r>
        <w:rPr>
          <w:lang w:val="ru-RU"/>
        </w:rPr>
        <w:br/>
        <w:t>СООБЩЕНИЕ ЮРИДИЧЕСКОГО ЛИЦА РЕСПУБЛИКИ БЕЛАРУСЬ О СОЗДАНИИ ФИЛИАЛА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 xml:space="preserve">39. Сообщение юридического лица Республики Беларусь о создании филиала представляется юридическим лицом в налоговый орган по месту постановки на учет </w:t>
      </w:r>
      <w:r>
        <w:rPr>
          <w:lang w:val="ru-RU"/>
        </w:rPr>
        <w:lastRenderedPageBreak/>
        <w:t>юридического лица по форме согласно приложению 4 к постановлению, утвердившему настоящую Инструкцию.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40. В верхней части документа указывается наименование налогового органа, в который подается заявление, согласно приложению 1.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Реквизит «УНП» заполняется налоговым органом, принявшим заявление.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41. В пункте 1 указывается полное наименование филиала согласно положению о филиале юридического лица или учредительным документам юридического лица. Количество символов при заполнении пункта 1 не должно превышать 250. Разрешается использовать любые буквы и цифры, а также следующие специальные знаки: «-» (дефис), «/» (дробь), «.» (точка), «,» (запятая), «”“» (кавычки), «()» (скобки).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42. В пункте 2 указывается сокращенное наименование (при его наличии) филиала согласно положению о филиале юридического лица или учредительным документам юридического лица. Количество символов не должно превышать 250. Разрешается использовать буквы, цифры и знаки в соответствии с правилами заполнения пункта 1. При отсутствии сокращенного наименования ставится знак «–» (прочерк).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43. В пункте 3 указывается место нахождения филиала согласно положению о филиале юридического лица или учредительным документам юридического лица.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указании почтового индекса количество символов – 6.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Подпункт 3.2 заполняется налоговым органом.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подпунктов 3.3 и 3.4 названия области, района, населенного пункта, типа элемента (сокращенное обозначение) и наименование элемента улично-дорожной сети, номера дома и квартиры разделяются запятыми.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Сокращенные обозначения типов элементов улично-дорожной сети и приравненных к ним элементов градостроительной планировочной структуры указываются согласно приложению 2.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44. Пункты 4 и 5 заполняются налоговым органом по месту нахождения филиала.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45. В пункте 6 указываются сведения о руководителе филиала. Фамилия, собственное имя и отчество (если таковое имеется) указываются без сокращений (подпункт 6.1). Номер телефона указывается с учетом кода междугородной связи по формату: MMMM-XXXXXXX, где MMMM – код междугородной связи, XXXXXXX – номер телефона, а также номер мобильного телефона (при его наличии) с указанием кода страны (1–3 знака) для сетей электросвязи, кода идентификации сети электросвязи и абонентского номера по формату: NNN-YY-ААААААА, где NNN – код страны, YY – код идентификации сети, ААААААА – абонентский номер (подпункт 6.3). Если в качестве руководителя выступает юридическое лицо – управляющая организация, то в подпункте 6.1 указывается полное наименование такого юридического лица, в подпункте 6.1</w:t>
      </w:r>
      <w:r>
        <w:rPr>
          <w:vertAlign w:val="superscript"/>
          <w:lang w:val="ru-RU"/>
        </w:rPr>
        <w:t>1</w:t>
      </w:r>
      <w:r>
        <w:rPr>
          <w:lang w:val="ru-RU"/>
        </w:rPr>
        <w:t> – его УНП, подпункт 6.2 в данном случае не заполняется.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46. В пункте 7 указываются сведения о лице, осуществляющем руководство бухгалтерским учетом филиала (бухгалтер, руководитель (бухгалтер, главный бухгалтер) организации, оказывающей услуги по ведению бухгалтерского учета и отчетности, или специалист-бухгалтер, являющийся индивидуальным предпринимателем). Фамилия, собственное имя и отчество (если таковое имеется) указываются без сокращений (подпункт 7.1).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Подпункт 7.3 заполняется с учетом правил заполнения подпункта 6.3 пункта 6.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47. В пункте 8 указывается дата создания филиала.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указывается дата наступления обстоятельства, в связи с которым возникает обязанность филиала по исполнению налоговых обязательств юридического лица.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48. В пункт 9 вносятся сведения о юридическом лице, создавшем филиал.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 xml:space="preserve">49. В пункте 10 указываются сведения о счетах, открытых юридическому лицу с предоставлением права распоряжаться денежными средствами на счете должностным </w:t>
      </w:r>
      <w:r>
        <w:rPr>
          <w:lang w:val="ru-RU"/>
        </w:rPr>
        <w:lastRenderedPageBreak/>
        <w:t>лицам филиала (номер, тип (заполняется налоговым органом) и дата открытия счета, вид валюты, код и наименование банка).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50. Реквизиты, сведения по которым отсутствуют, не заполняются, и ставится знак «–» (прочерк).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6</w:t>
      </w:r>
      <w:r>
        <w:rPr>
          <w:lang w:val="ru-RU"/>
        </w:rPr>
        <w:br/>
        <w:t>ЗАЯВЛЕНИЕ О ПОСТАНОВКЕ НА УЧЕТ В НАЛОГОВОМ ОРГАНЕ ИНОСТРАННОЙ ОРГАНИЗАЦИИ, ИНОСТРАННОГО ИНДИВИДУАЛЬНОГО ПРЕДПРИНИМАТЕЛЯ, ИНОГО ЛИЦА, ЯВЛЯЮЩЕГОСЯ НАЛОГОПЛАТЕЛЬЩИКОМ В СООТВЕТСТВИИ С ЗАКОНОДАТЕЛЬСТВОМ ИНОСТРАННОГО ГОСУДАРСТВА, ОКАЗЫВАЮЩИХ УСЛУГИ В ЭЛЕКТРОННОЙ ФОРМЕ, ИНОСТРАННОЙ ОРГАНИЗАЦИИ, ИНОСТРАННОГО ИНДИВИДУАЛЬНОГО ПРЕДПРИНИМАТЕЛЯ, ИНОГО ЛИЦА, ЯВЛЯЮЩЕГОСЯ НАЛОГОПЛАТЕЛЬЩИКОМ В СООТВЕТСТВИИ С ЗАКОНОДАТЕЛЬСТВОМ ИНОСТРАННОГО ГОСУДАРСТВА, ОСУЩЕСТВЛЯЮЩИХ ЭЛЕКТРОННУЮ ДИСТАНЦИОННУЮ ПРОДАЖУ ТОВАРОВ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51. Заявление о постановке на учет в налоговом органе по форме согласно приложению 4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к постановлению, утвердившему настоящую Инструкцию, заполняется иностранной организацией, иностранным индивидуальным предпринимателем, иным лицом, являющимся налогоплательщиком в соответствии с законодательством иностранного государства (далее, если не указано иное, – иное иностранное лицо), определенными в абзацах втором и третьем части первой подпункта 2.12 и абзацах втором и третьем части первой подпункта 2.12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пункта 2 статьи 13 Налогового кодекса Республики Беларусь, у которых возникли обстоятельства, указанные в части третьей подпункта 1.7 пункта 1 статьи 70 Налогового кодекса Республики Беларусь.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52. Реквизит «УНП» заполняется инспекцией Министерства по налогам и сборам по г. Минску.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53. В разделе А «Сведения о плательщике»: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 указывается полное наименование организации, соответствующее наименованию, указанному в учредительных документах (выписке из торгового регистра страны ее места нахождения), в русской и латинской транскрипциях;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2 указываются сведения об иностранном индивидуальном предпринимателе. В подпунктах 2.1–2.3 указываются фамилия, собственное имя, отчество (если таковое имеется) иностранного индивидуального предпринимателя согласно выписке из торгового регистра страны места нахождения или иному эквивалентному доказательству его юридического статуса в русской и латинской транскрипциях, в подпункте 2.4 указывается дата рождения в формате ДД.ММ.ГГГГ, где ДД – число, ММ – месяц, ГГГГ – год;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3 сведения об ином иностранном лице заполняются с учетом правил заполнения, установленных в абзаце третьем настоящего пункта;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4 указывается цифровой код страны регистрации (места нахождения) иностранной организации, иностранного индивидуального предпринимателя, иного иностранного лица согласно общегосударственному классификатору Республики Беларусь ОКРБ 017-99 «Страны мира»;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9 указывается номер телефона с указанием кодов страны и города;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10 указывается адрес интернет-сайта иностранной организации, иностранного индивидуального предпринимателя, иного иностранного лица (при наличии).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54. В разделе Б «Сведения о деятельности»: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13 отмечаются знаком «Х» коды услуг в электронной форме, в том числе приравненных к ним услуг, электронной дистанционной продажи товаров согласно приложению 4;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lastRenderedPageBreak/>
        <w:t>в пункте 14 указываются интернет-сайты (при наличии), с использованием которых иностранной организацией, иностранным индивидуальным предпринимателем, иным иностранным лицом оказываются услуги в электронной форме, в том числе приравненные к ним услуги (далее – услуги), и (или) осуществляется электронная дистанционная продажа товаров покупателям Республики Беларусь. Адрес каждого сайта указывается с новой строки (строки 14.1, 14.2, 14.3 и т.д.);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15 указываются мобильные приложения (при наличии), с использованием которых иностранной организацией, иностранным индивидуальным предпринимателем, иным иностранным лицом оказываются услуги и (или) осуществляется электронная дистанционная продажа товаров покупателям Республики Беларусь. Каждое мобильное приложение указывается с новой строки (строки 15.1, 15.2, 15.3 и т.д.).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55. В разделе В «Сведения о руководителе организации или уполномоченном представителе плательщика»: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16 указывается наименование организации – представителя (при наличии). Данные заполняются в русской и латинской транскрипциях;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17 указываются через запятую фамилия, собственное имя, отчество (если таковое имеется) руководителя организации или уполномоченного представителя плательщика. Данные заполняются в русской и латинской транскрипциях полностью, без сокращений;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19 указывается номер телефона с указанием кодов страны и города.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56. В строках, сведения по которым отсутствуют, ставится знак «–» (прочерк).</w:t>
      </w:r>
    </w:p>
    <w:p w:rsidR="000C4EFA" w:rsidRDefault="000C4EFA">
      <w:pPr>
        <w:pStyle w:val="chapter"/>
        <w:rPr>
          <w:lang w:val="ru-RU"/>
        </w:rPr>
      </w:pPr>
      <w:r>
        <w:rPr>
          <w:lang w:val="ru-RU"/>
        </w:rPr>
        <w:t>ГЛАВА 7</w:t>
      </w:r>
      <w:r>
        <w:rPr>
          <w:lang w:val="ru-RU"/>
        </w:rPr>
        <w:br/>
        <w:t>СООБЩЕНИЕ ЮРИДИЧЕСКОГО ЛИЦА РЕСПУБЛИКИ БЕЛАРУСЬ О ЛИКВИДАЦИИ ФИЛИАЛА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57. Сообщение юридического лица Республики Беларусь о ликвидации филиала представляется по форме согласно приложению 4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к постановлению, утвердившему настоящую Инструкцию.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58. В верхней части документа указывается наименование налогового органа, в который подается сообщение юридического лица Республики Беларусь о ликвидации филиала, согласно приложению 1.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59. В пункте 1 указывается полное наименование филиала юридического лица Республики Беларусь согласно положению о филиале, представительстве или учредительным документам юридического лица.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60. В пункте 3 указывается место нахождения филиала юридического лица Республики Беларусь согласно положению о филиале, представительстве или учредительным документам юридического лица.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указании почтового индекса количество символов – 6.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При заполнении подпунктов 3.2 и 3.3 названия области, района, населенного пункта, типа элемента (сокращенное обозначение) и наименование элемента улично-дорожной сети, номера дома и квартиры разделяются запятыми.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Сокращенные обозначения типов элементов улично-дорожной сети и приравненных к ним элементов градостроительной планировочной структуры указываются согласно приложению 2.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61. В пункте 4 указывается дата ликвидации филиала юридического лица Республики Беларусь.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В пункте 5 указывается дата наступления обстоятельства, в связи с которым прекращается обязанность филиала юридического лица Республики Беларусь по исполнению налоговых обязательств этого юридического лица.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t>62. В пункт 6 вносятся сведения о юридическом лице Республики Беларусь, создавшем филиал.</w:t>
      </w:r>
    </w:p>
    <w:p w:rsidR="000C4EFA" w:rsidRDefault="000C4EFA">
      <w:pPr>
        <w:pStyle w:val="point"/>
        <w:rPr>
          <w:lang w:val="ru-RU"/>
        </w:rPr>
      </w:pPr>
      <w:r>
        <w:rPr>
          <w:lang w:val="ru-RU"/>
        </w:rPr>
        <w:lastRenderedPageBreak/>
        <w:t>63. Реквизиты, сведения по которым отсутствуют, не заполняются, и ставится знак «–» (прочерк).</w:t>
      </w:r>
    </w:p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3716"/>
      </w:tblGrid>
      <w:tr w:rsidR="000C4EFA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newncpi"/>
            </w:pPr>
            <w:r>
              <w:t> 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append1"/>
            </w:pPr>
            <w:r>
              <w:t>Приложение 1</w:t>
            </w:r>
          </w:p>
          <w:p w:rsidR="000C4EFA" w:rsidRDefault="000C4EFA">
            <w:pPr>
              <w:pStyle w:val="append"/>
            </w:pPr>
            <w:r>
              <w:t xml:space="preserve">к Инструкции о порядке заполнения </w:t>
            </w:r>
            <w:r>
              <w:br/>
              <w:t>заявлений о постановке на учет</w:t>
            </w:r>
            <w:r>
              <w:br/>
              <w:t xml:space="preserve">в налоговом органе и сообщения </w:t>
            </w:r>
            <w:r>
              <w:br/>
              <w:t xml:space="preserve">юридического лица о создании </w:t>
            </w:r>
            <w:r>
              <w:br/>
              <w:t>или ликвидации филиалов,</w:t>
            </w:r>
            <w:r>
              <w:br/>
              <w:t xml:space="preserve">представительств и иных </w:t>
            </w:r>
            <w:r>
              <w:br/>
              <w:t xml:space="preserve">обособленных подразделений </w:t>
            </w:r>
            <w:r>
              <w:br/>
              <w:t xml:space="preserve">юридического лица </w:t>
            </w:r>
          </w:p>
        </w:tc>
      </w:tr>
    </w:tbl>
    <w:p w:rsidR="000C4EFA" w:rsidRDefault="000C4EFA">
      <w:pPr>
        <w:pStyle w:val="titlep"/>
        <w:rPr>
          <w:lang w:val="ru-RU"/>
        </w:rPr>
      </w:pPr>
      <w:r>
        <w:rPr>
          <w:lang w:val="ru-RU"/>
        </w:rPr>
        <w:t>Справочник налоговых органов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20"/>
      </w:tblGrid>
      <w:tr w:rsidR="000C4EFA">
        <w:trPr>
          <w:trHeight w:val="240"/>
        </w:trPr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6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Наименование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Инспекция Министерства по налогам и сборам (далее – ИМНС) по городу Минску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Заводскому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Ленинскому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Московскому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Октябрьскому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Партизанскому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Первомайскому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Советскому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Фрунзенскому р-ну г. Минска № 2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Центральному р-ну г. Минска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Фрунзенскому р-ну г. Минска № 1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Брестской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Барановичскому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Березовскому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Брестскому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Барановичскому р-ну (управление по работе с плательщиками по </w:t>
            </w:r>
            <w:proofErr w:type="spellStart"/>
            <w:r>
              <w:t>Ганцевичскому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Березовскому р-ну (управление по работе с плательщиками по </w:t>
            </w:r>
            <w:proofErr w:type="spellStart"/>
            <w:r>
              <w:t>Дрогичинскому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Брестскому р-ну (управление по работе с плательщиками по </w:t>
            </w:r>
            <w:proofErr w:type="spellStart"/>
            <w:r>
              <w:t>Жабинковскому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Пинскому р-ну (управление по работе с плательщиками по Ивановскому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Ивацевичскому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Брестскому р-ну (управление по работе с плательщиками по Каменецкому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Лунинецкому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Барановичскому р-ну (управление по работе с плательщиками по </w:t>
            </w:r>
            <w:proofErr w:type="spellStart"/>
            <w:r>
              <w:t>Ляховичскому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Кобринскому р-ну (управление по работе с плательщиками по </w:t>
            </w:r>
            <w:proofErr w:type="spellStart"/>
            <w:r>
              <w:t>Малоритскому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Пинскому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Пружанскому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Столинскому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Ленинскому р-ну г. Бреста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Московскому р-ну г. Бреста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Барановичи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Кобринскому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271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Пинску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Витебской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Железнодорожному р-ну г. Витебска (отдел по работе с плательщиками по </w:t>
            </w:r>
            <w:proofErr w:type="spellStart"/>
            <w:r>
              <w:t>Бешенковичскому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Полоцкому р-ну (управление по работе с плательщиками по </w:t>
            </w:r>
            <w:proofErr w:type="spellStart"/>
            <w:r>
              <w:t>Браславскому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Новополоцку (управление по работе с плательщиками по </w:t>
            </w:r>
            <w:proofErr w:type="spellStart"/>
            <w:r>
              <w:t>Верхнедвинскому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Витебскому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Глубокскому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Железнодорожному р-ну г. Витебска (отдел по работе с плательщиками по </w:t>
            </w:r>
            <w:proofErr w:type="spellStart"/>
            <w:r>
              <w:t>Городокскому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lastRenderedPageBreak/>
              <w:t>308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Глубокскому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Докшицкому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Оршанскому р-ну (отдел по работе с плательщиками по </w:t>
            </w:r>
            <w:proofErr w:type="spellStart"/>
            <w:r>
              <w:t>Дубровенскому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ind w:left="-2136" w:firstLine="2138"/>
            </w:pPr>
            <w:r>
              <w:t xml:space="preserve">ИМНС по Железнодорожному р-ну г. Витебска (отдел по работе с плательщиками по </w:t>
            </w:r>
            <w:proofErr w:type="spellStart"/>
            <w:r>
              <w:t>Лиозненскому</w:t>
            </w:r>
            <w:proofErr w:type="spellEnd"/>
            <w:r>
              <w:t xml:space="preserve"> </w:t>
            </w:r>
          </w:p>
          <w:p w:rsidR="000C4EFA" w:rsidRDefault="000C4EFA">
            <w:pPr>
              <w:pStyle w:val="table10"/>
              <w:ind w:left="-2136" w:firstLine="2138"/>
            </w:pPr>
            <w:r>
              <w:t xml:space="preserve">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Полоцкому р-ну (отдел по работе с плательщиками по </w:t>
            </w:r>
            <w:proofErr w:type="spellStart"/>
            <w:r>
              <w:t>Миорскому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Оршанскому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Полоцкому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Поставскому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Новополоцку (отдел учета и взыскания платежей по </w:t>
            </w:r>
            <w:proofErr w:type="spellStart"/>
            <w:r>
              <w:t>Россонскому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Оршанскому р-ну (управление по работе с плательщиками по </w:t>
            </w:r>
            <w:proofErr w:type="spellStart"/>
            <w:r>
              <w:t>Сенненскому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Оршанскому р-ну (управление по работе с плательщиками по </w:t>
            </w:r>
            <w:proofErr w:type="spellStart"/>
            <w:r>
              <w:t>Толочинскому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Лепельскому</w:t>
            </w:r>
            <w:proofErr w:type="spellEnd"/>
            <w:r>
              <w:t xml:space="preserve"> р-ну (отдел по работе с плательщиками по </w:t>
            </w:r>
            <w:proofErr w:type="spellStart"/>
            <w:r>
              <w:t>Ушачскому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321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Лепельскому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Чашникскому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Глубокскому</w:t>
            </w:r>
            <w:proofErr w:type="spellEnd"/>
            <w:r>
              <w:t xml:space="preserve"> р-ну (отдел по работе с плательщиками по </w:t>
            </w:r>
            <w:proofErr w:type="spellStart"/>
            <w:r>
              <w:t>Шарковщинскому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Витебскому р-ну (отдел по работе с плательщиками по </w:t>
            </w:r>
            <w:proofErr w:type="spellStart"/>
            <w:r>
              <w:t>Шумилинскому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341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Лепельскому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Новополоцку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Железнодорожному р-ну г. Витебска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Октябрьскому р-ну г. Витебска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364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Первомайскому р-ну г. Витебска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Гомельской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Речицкому р-ну (отдел по работе с плательщиками по Брагинскому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Жлобинскому р-ну (управление по работе с плательщиками по Буда-</w:t>
            </w:r>
            <w:proofErr w:type="spellStart"/>
            <w:r>
              <w:t>Кошелевскому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Гомельскому р-ну (отдел по работе с плательщиками по </w:t>
            </w:r>
            <w:proofErr w:type="spellStart"/>
            <w:r>
              <w:t>Ветковскому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Гомельскому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Новобелицкому</w:t>
            </w:r>
            <w:proofErr w:type="spellEnd"/>
            <w:r>
              <w:t xml:space="preserve"> р-ну г. Гомеля (управление по работе с плательщиками по </w:t>
            </w:r>
            <w:proofErr w:type="spellStart"/>
            <w:r>
              <w:t>Добрушскому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Мозырскому р-ну (отдел по работе с плательщиками по Ельскому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Житковичскому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Жлобинскому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Калинковичскому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Рогачевскому р-ну (отдел по работе с плательщиками по </w:t>
            </w:r>
            <w:proofErr w:type="spellStart"/>
            <w:r>
              <w:t>Кормянскому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Житковичскому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Лельчицкому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Речицкому р-ну (отдел по работе с плательщиками по </w:t>
            </w:r>
            <w:proofErr w:type="spellStart"/>
            <w:r>
              <w:t>Лоевскому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Мозырскому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Мозырскому р-ну (отдел по работе с плательщиками по </w:t>
            </w:r>
            <w:proofErr w:type="spellStart"/>
            <w:r>
              <w:t>Наровлянскому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Светлогорскому р-ну (отдел по работе с плательщиками по Октябрьскому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Калинковичскому</w:t>
            </w:r>
            <w:proofErr w:type="spellEnd"/>
            <w:r>
              <w:t xml:space="preserve"> р-ну (управление по работе с плательщиками по Петриковскому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Речицкому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421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Рогачевскому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422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Светлогорскому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423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Речицкому р-ну (отдел по работе с плательщиками по </w:t>
            </w:r>
            <w:proofErr w:type="spellStart"/>
            <w:r>
              <w:t>Хойникскому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424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Рогачевскому р-ну (отдел по работе с плательщиками по Чечерскому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432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Железнодорожному р-ну г. Гомеля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433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Новобелицкому</w:t>
            </w:r>
            <w:proofErr w:type="spellEnd"/>
            <w:r>
              <w:t xml:space="preserve"> р-ну г. Гомеля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434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Советскому р-ну г. Гомеля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435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Центральному р-ну г. Гомеля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Гродненской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Волковысскому р-ну (отдел по работе с плательщиками по </w:t>
            </w:r>
            <w:proofErr w:type="spellStart"/>
            <w:r>
              <w:t>Берестовицкому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Волковысскому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Лидскому р-ну (управление по работе с плательщиками по </w:t>
            </w:r>
            <w:proofErr w:type="spellStart"/>
            <w:r>
              <w:t>Вороновскому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Гродненскому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Новогрудскому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Дятловскому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Слонимскому р-ну (отдел по работе с плательщиками по </w:t>
            </w:r>
            <w:proofErr w:type="spellStart"/>
            <w:r>
              <w:t>Зельвенскому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Лидскому р-ну (управление по работе с плательщиками по </w:t>
            </w:r>
            <w:proofErr w:type="spellStart"/>
            <w:r>
              <w:t>Ивьевскому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Новогрудскому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Кореличскому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Лидскому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lastRenderedPageBreak/>
              <w:t>512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Гродненскому р-ну (управление по работе с плательщиками по Мостовскому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Новогрудскому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Островецкому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Сморгонскому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Ошмянскому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Волковысскому р-ну (отдел по работе с плательщиками по </w:t>
            </w:r>
            <w:proofErr w:type="spellStart"/>
            <w:r>
              <w:t>Свислочскому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Сморгонскому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519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Щучинскому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542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Ленинскому р-ну г. Гродно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543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Октябрьскому р-ну г. Гродно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571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Слонимскому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Минской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Борисовскому р-ну (управление по работе с плательщиками по Березинскому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Борисовскому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Вилейскому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Воложинскому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Дзержинскому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Несвижскому</w:t>
            </w:r>
            <w:proofErr w:type="spellEnd"/>
            <w:r>
              <w:t xml:space="preserve"> р-ну (управление по работе с плательщиками по Клецкому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Слуцкому р-ну (управление по работе с плательщиками по </w:t>
            </w:r>
            <w:proofErr w:type="spellStart"/>
            <w:r>
              <w:t>Копыльскому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Борисовскому р-ну (управление по работе с плательщиками по Крупскому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Логойскому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Солигорскому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Любанскому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Минскому району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Молодечненскому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Вилейскому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Мядельскому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Несвижскому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Пуховичскому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Слуцкому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619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Смолевичскому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621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Солигорскому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622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Слуцкому р-ну (управление по работе с плательщиками по </w:t>
            </w:r>
            <w:proofErr w:type="spellStart"/>
            <w:r>
              <w:t>Стародорожскому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623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Столбцовскому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624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Дзержинскому р-ну (управление по работе с плательщиками по </w:t>
            </w:r>
            <w:proofErr w:type="spellStart"/>
            <w:r>
              <w:t>Узденскому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625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Пуховичскому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Червенскому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661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Жодино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Могилевской области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Шкловскому р-ну (управление по работе с плательщиками по </w:t>
            </w:r>
            <w:proofErr w:type="spellStart"/>
            <w:r>
              <w:t>Белыничскому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Бобруйскому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Быховскому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Бобруйскому р-ну (отдел по работе с плательщиками по </w:t>
            </w:r>
            <w:proofErr w:type="spellStart"/>
            <w:r>
              <w:t>Глусскому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Горецкому р-ну (отдел по работе с плательщиками по </w:t>
            </w:r>
            <w:proofErr w:type="spellStart"/>
            <w:r>
              <w:t>Дрибинскому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Бобруйскому р-ну (управление по работе с плательщиками по Кировскому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709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Костюковичскому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Климовичскому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Осиповичскому</w:t>
            </w:r>
            <w:proofErr w:type="spellEnd"/>
            <w:r>
              <w:t xml:space="preserve"> р-ну (управление по работе с плательщиками по </w:t>
            </w:r>
            <w:proofErr w:type="spellStart"/>
            <w:r>
              <w:t>Кличевскому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Костюковичскому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Костюковичскому</w:t>
            </w:r>
            <w:proofErr w:type="spellEnd"/>
            <w:r>
              <w:t xml:space="preserve"> р-ну (отдел по работе с плательщиками по Краснопольскому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715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Шкловскому р-ну (отдел по работе с плательщиками по </w:t>
            </w:r>
            <w:proofErr w:type="spellStart"/>
            <w:r>
              <w:t>Круглянскому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716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Могилевскому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717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Горецкому р-ну (управление по работе с плательщиками по Мстиславскому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718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Осиповичскому</w:t>
            </w:r>
            <w:proofErr w:type="spellEnd"/>
            <w:r>
              <w:t xml:space="preserve">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719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Быховскому р-ну (отдел по работе с плательщиками по </w:t>
            </w:r>
            <w:proofErr w:type="spellStart"/>
            <w:r>
              <w:t>Славгородскому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721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</w:t>
            </w:r>
            <w:proofErr w:type="spellStart"/>
            <w:r>
              <w:t>Костюковичскому</w:t>
            </w:r>
            <w:proofErr w:type="spellEnd"/>
            <w:r>
              <w:t xml:space="preserve"> р-ну (отдел по работе с плательщиками по </w:t>
            </w:r>
            <w:proofErr w:type="spellStart"/>
            <w:r>
              <w:t>Хотимскому</w:t>
            </w:r>
            <w:proofErr w:type="spellEnd"/>
            <w:r>
              <w:t xml:space="preserve"> р-ну)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722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Кричевскому р-ну (управление по работе с плательщиками по Чаусскому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723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Кричевскому р-ну (отдел по работе с плательщиками по </w:t>
            </w:r>
            <w:proofErr w:type="spellStart"/>
            <w:r>
              <w:t>Чериковскому</w:t>
            </w:r>
            <w:proofErr w:type="spellEnd"/>
            <w:r>
              <w:t xml:space="preserve"> р-ну)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724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Шкловскому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741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г. Бобруйску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751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Горецкому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761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Кричевскому р-ну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772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Исключена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lastRenderedPageBreak/>
              <w:t>773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ИМНС по Октябрьскому р-ну г. Могилева </w:t>
            </w:r>
          </w:p>
        </w:tc>
      </w:tr>
      <w:tr w:rsidR="000C4EFA">
        <w:trPr>
          <w:trHeight w:val="240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774</w:t>
            </w: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ИМНС по Ленинскому р-ну г. Могилева</w:t>
            </w:r>
          </w:p>
        </w:tc>
      </w:tr>
    </w:tbl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3716"/>
      </w:tblGrid>
      <w:tr w:rsidR="000C4EFA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newncpi"/>
            </w:pPr>
            <w:r>
              <w:t> 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append1"/>
            </w:pPr>
            <w:r>
              <w:t>Приложение 2</w:t>
            </w:r>
          </w:p>
          <w:p w:rsidR="000C4EFA" w:rsidRDefault="000C4EFA">
            <w:pPr>
              <w:pStyle w:val="append"/>
            </w:pPr>
            <w:r>
              <w:t xml:space="preserve">к Инструкции о порядке заполнения </w:t>
            </w:r>
            <w:r>
              <w:br/>
              <w:t>заявлений о постановке на учет</w:t>
            </w:r>
            <w:r>
              <w:br/>
              <w:t xml:space="preserve">в налоговом органе и сообщения </w:t>
            </w:r>
            <w:r>
              <w:br/>
              <w:t xml:space="preserve">юридического лица о создании </w:t>
            </w:r>
            <w:r>
              <w:br/>
              <w:t>или ликвидации филиалов,</w:t>
            </w:r>
            <w:r>
              <w:br/>
              <w:t xml:space="preserve">представительств и иных </w:t>
            </w:r>
            <w:r>
              <w:br/>
              <w:t xml:space="preserve">обособленных подразделений </w:t>
            </w:r>
            <w:r>
              <w:br/>
              <w:t>юридического лица</w:t>
            </w:r>
          </w:p>
        </w:tc>
      </w:tr>
    </w:tbl>
    <w:p w:rsidR="000C4EFA" w:rsidRDefault="000C4EFA">
      <w:pPr>
        <w:pStyle w:val="titlep"/>
        <w:rPr>
          <w:lang w:val="ru-RU"/>
        </w:rPr>
      </w:pPr>
      <w:r>
        <w:rPr>
          <w:lang w:val="ru-RU"/>
        </w:rPr>
        <w:t>Справочник типов элементов улично-дорожной сети и приравненных к ним элементов градостроительной планировочной 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2605"/>
        <w:gridCol w:w="2084"/>
        <w:gridCol w:w="2050"/>
      </w:tblGrid>
      <w:tr w:rsidR="000C4EFA">
        <w:trPr>
          <w:trHeight w:val="238"/>
        </w:trPr>
        <w:tc>
          <w:tcPr>
            <w:tcW w:w="1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Название</w:t>
            </w: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Сокращенное обозначение</w:t>
            </w:r>
          </w:p>
        </w:tc>
        <w:tc>
          <w:tcPr>
            <w:tcW w:w="1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Код улицы</w:t>
            </w:r>
          </w:p>
        </w:tc>
        <w:tc>
          <w:tcPr>
            <w:tcW w:w="10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Тип улицы (для налоговых агентов)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Бульвар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б-р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15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Военный городок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вг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41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Воинская часть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вч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42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Въезд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въезд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25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Квартал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кв</w:t>
            </w:r>
            <w:proofErr w:type="spellEnd"/>
            <w:r>
              <w:t>-л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37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Кольцо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к/о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19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Магистраль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маг.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13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Микрорайон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мкр</w:t>
            </w:r>
            <w:proofErr w:type="spellEnd"/>
            <w:r>
              <w:t>-н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32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Набережная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наб.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17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Парк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парк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34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Переулок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пер.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21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Площадь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пл.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14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Поселок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пос.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31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Проезд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пр</w:t>
            </w:r>
            <w:proofErr w:type="spellEnd"/>
            <w:r>
              <w:t>-д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22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Проспект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пр.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12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Сквер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сквер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39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Спуск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24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Станция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ст.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35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Территория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тер.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43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Тракт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тр.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16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Тупик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туп.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23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Улица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ул.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Урочище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proofErr w:type="spellStart"/>
            <w:r>
              <w:t>уроч</w:t>
            </w:r>
            <w:proofErr w:type="spellEnd"/>
            <w: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38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Шоссе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шоссе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18</w:t>
            </w:r>
          </w:p>
        </w:tc>
      </w:tr>
      <w:tr w:rsidR="000C4EFA">
        <w:trPr>
          <w:trHeight w:val="238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Другое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др.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99</w:t>
            </w:r>
          </w:p>
        </w:tc>
      </w:tr>
    </w:tbl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3716"/>
      </w:tblGrid>
      <w:tr w:rsidR="000C4EFA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newncpi"/>
            </w:pPr>
            <w:r>
              <w:t> 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append1"/>
            </w:pPr>
            <w:r>
              <w:t>Приложение 3</w:t>
            </w:r>
          </w:p>
          <w:p w:rsidR="000C4EFA" w:rsidRDefault="000C4EFA">
            <w:pPr>
              <w:pStyle w:val="append"/>
            </w:pPr>
            <w:r>
              <w:t xml:space="preserve">к Инструкции о порядке заполнения </w:t>
            </w:r>
            <w:r>
              <w:br/>
              <w:t>заявлений о постановке на учет</w:t>
            </w:r>
            <w:r>
              <w:br/>
              <w:t xml:space="preserve">в налоговом органе и сообщения </w:t>
            </w:r>
            <w:r>
              <w:br/>
              <w:t xml:space="preserve">юридического лица о создании </w:t>
            </w:r>
            <w:r>
              <w:br/>
              <w:t>или ликвидации филиалов,</w:t>
            </w:r>
            <w:r>
              <w:br/>
              <w:t xml:space="preserve">представительств и иных </w:t>
            </w:r>
            <w:r>
              <w:br/>
              <w:t xml:space="preserve">обособленных подразделений </w:t>
            </w:r>
            <w:r>
              <w:br/>
              <w:t>юридического лица</w:t>
            </w:r>
          </w:p>
        </w:tc>
      </w:tr>
    </w:tbl>
    <w:p w:rsidR="000C4EFA" w:rsidRDefault="000C4EFA">
      <w:pPr>
        <w:pStyle w:val="titlep"/>
        <w:rPr>
          <w:lang w:val="ru-RU"/>
        </w:rPr>
      </w:pPr>
      <w:r>
        <w:rPr>
          <w:lang w:val="ru-RU"/>
        </w:rPr>
        <w:t>Справочник видов документов, удостоверяющих личность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8741"/>
      </w:tblGrid>
      <w:tr w:rsidR="000C4EFA">
        <w:trPr>
          <w:trHeight w:val="240"/>
        </w:trPr>
        <w:tc>
          <w:tcPr>
            <w:tcW w:w="3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Вид документа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lastRenderedPageBreak/>
              <w:t>01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Паспорт гражданина Республики Беларусь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Национальный паспорт иностранного гражданина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Свидетельство о рождении (для граждан Республики Беларусь, не достигших шестнадцатилетнего возраста и не имеющих паспортов граждан Республики Беларусь)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Удостоверение беженца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Вид на жительство в Республике Беларусь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Идентификационная карта гражданина Республики Беларусь 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Биометрический вид на жительство в Республике Беларусь иностранного гражданина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Биометрический вид на жительство в Республике Беларусь лица без гражданства</w:t>
            </w:r>
          </w:p>
        </w:tc>
      </w:tr>
      <w:tr w:rsidR="000C4EFA">
        <w:trPr>
          <w:trHeight w:val="240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99</w:t>
            </w:r>
          </w:p>
        </w:tc>
        <w:tc>
          <w:tcPr>
            <w:tcW w:w="4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Иной документ, удостоверяющий личность </w:t>
            </w:r>
          </w:p>
        </w:tc>
      </w:tr>
    </w:tbl>
    <w:p w:rsidR="000C4EFA" w:rsidRDefault="000C4EF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0C4EFA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append1"/>
            </w:pPr>
            <w:r>
              <w:t>Приложение 4</w:t>
            </w:r>
          </w:p>
          <w:p w:rsidR="000C4EFA" w:rsidRDefault="000C4EFA">
            <w:pPr>
              <w:pStyle w:val="append"/>
            </w:pPr>
            <w:r>
              <w:t>к Инструкции о порядке заполнения</w:t>
            </w:r>
            <w:r>
              <w:br/>
              <w:t>заявлений о постановке на учет в налоговом</w:t>
            </w:r>
            <w:r>
              <w:br/>
              <w:t>органе и сообщения юридического лица</w:t>
            </w:r>
            <w:r>
              <w:br/>
              <w:t>о создании или ликвидации филиалов,</w:t>
            </w:r>
            <w:r>
              <w:br/>
              <w:t>представительств и иных обособленных</w:t>
            </w:r>
            <w:r>
              <w:br/>
              <w:t>подразделений юридического лица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по налогам и сборам </w:t>
            </w:r>
            <w:r>
              <w:br/>
              <w:t xml:space="preserve">Республики Беларусь </w:t>
            </w:r>
            <w:r>
              <w:br/>
              <w:t xml:space="preserve">24.03.2025 № 14) </w:t>
            </w:r>
          </w:p>
        </w:tc>
      </w:tr>
    </w:tbl>
    <w:p w:rsidR="000C4EFA" w:rsidRDefault="000C4EFA">
      <w:pPr>
        <w:pStyle w:val="titlep"/>
        <w:jc w:val="left"/>
        <w:rPr>
          <w:lang w:val="ru-RU"/>
        </w:rPr>
      </w:pPr>
      <w:r>
        <w:rPr>
          <w:lang w:val="ru-RU"/>
        </w:rPr>
        <w:t>КОДЫ УСЛУГ,</w:t>
      </w:r>
      <w:r>
        <w:rPr>
          <w:lang w:val="ru-RU"/>
        </w:rPr>
        <w:br/>
        <w:t>оказываемых в электронной форме, в том числе приравненных к ним услуг, электронной дистанционной продажи товаров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8781"/>
      </w:tblGrid>
      <w:tr w:rsidR="000C4EFA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6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EFA" w:rsidRDefault="000C4EFA">
            <w:pPr>
              <w:pStyle w:val="table10"/>
              <w:jc w:val="center"/>
            </w:pPr>
            <w:r>
              <w:t>Деятельность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предоставление прав на использование программного обеспечения для любых видов электронных устройств (включая компьютерные игры, в том числе онлайн-игры), баз данных, их обновлений и дополнительных функциональных возможностей через глобальную компьютерную сеть Интернет (далее – сеть Интернет), в том числе путем предоставления удаленного доступа к ним, а также электронных книг (изданий) и других электронных публикаций, информационных, образовательных материалов, графических изображений, музыкальных произведений с текстом или без текста, аудиовизуальных произведений через сеть Интернет, в том числе путем предоставления удаленного доступа к ним для просмотра и (или) прослушивания через сеть Интернет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020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рекламные, маркетинговые услуги в сети Интернет, в том числе с использованием программного обеспечения для любых видов электронных устройств и баз данных, функционирующих в сети Интернет, а также предоставление площади (пространства) в сети Интернет для размещения (распространения) рекламы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030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 по размещению предложений о приобретении (реализации) товаров (работ, услуг), имущественных прав в сети Интернет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040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услуги, осуществляемые автоматическим способом через сеть Интернет при вводе данных покупателем услуг, автоматизированные услуги по поиску данных, их отбору и сортировке по запросам, предоставлению указанных данных пользователям через информационно-телекоммуникационные сети (в том числе сводки фондовой биржи в режиме реального времени, осуществление в режиме реального времени автоматизированного перевода)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050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 по поиску и (или) предоставлению заказчику информации о потенциальных покупателях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060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 по предоставлению через сеть Интернет технических, организационных, информационных и иных возможностей, осуществляемых с использованием информационных технологий и систем, для установления контактов и (или) заключения сделок между продавцами и покупателями, увеличения (стимулирования) продаж через электронную торговую площадку (включая предоставление торговой площадки, функционирующей в сети Интернет в режиме реального времени, на которой потенциальные покупатели предлагают свою цену посредством автоматизированной процедуры и стороны извещаются о продаже путем отправляемого автоматически создаваемого сообщения)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070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обеспечение и (или) поддержание присутствия в сети Интернет для личных целей или в целях осуществления предпринимательской деятельности, поддержка электронных ресурсов пользователей (сайтов и (или) страниц сайтов в сети Интернет), обеспечение доступа к ним других пользователей </w:t>
            </w:r>
            <w:r>
              <w:lastRenderedPageBreak/>
              <w:t>сети Интернет, предоставление пользователям возможности их модификации, оказание услуг по администрированию информационных систем, сайтов в сети Интернет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lastRenderedPageBreak/>
              <w:t>080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хранение, подборка (выборка) и (или) обработка информации при условии, что лицо, предоставившее эту информацию, или иной пользователь имеют к ней доступ через сеть Интернет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090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предоставление в режиме реального времени вычислительной мощности для размещения информации в информационной системе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предоставление доменных имен, оказание услуг хостинга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предоставление доступа к поисковым системам в сети Интернет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ведение статистики на сайтах в сети Интернет, ее обработка, предоставление результатов обработки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электронная дистанционная продажа товаров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 по организации и (или) проведению через сеть Интернет азартных игр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 xml:space="preserve">автоматизированное дистанционное обучение через информационную сеть 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телекоммуникационные услуги</w:t>
            </w:r>
          </w:p>
        </w:tc>
      </w:tr>
      <w:tr w:rsidR="000C4EFA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EFA" w:rsidRDefault="000C4EFA">
            <w:pPr>
              <w:pStyle w:val="table10"/>
            </w:pPr>
            <w:r>
              <w:t>услуги телевизионного и звукового вещания</w:t>
            </w:r>
          </w:p>
        </w:tc>
      </w:tr>
    </w:tbl>
    <w:p w:rsidR="000C4EFA" w:rsidRDefault="000C4EFA">
      <w:pPr>
        <w:rPr>
          <w:rFonts w:eastAsia="Times New Roman"/>
        </w:rPr>
      </w:pPr>
    </w:p>
    <w:p w:rsidR="000F325C" w:rsidRDefault="000F325C"/>
    <w:sectPr w:rsidR="000F325C" w:rsidSect="000C4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4EFA" w:rsidRDefault="000C4EFA" w:rsidP="000C4EFA">
      <w:pPr>
        <w:spacing w:after="0" w:line="240" w:lineRule="auto"/>
      </w:pPr>
      <w:r>
        <w:separator/>
      </w:r>
    </w:p>
  </w:endnote>
  <w:endnote w:type="continuationSeparator" w:id="0">
    <w:p w:rsidR="000C4EFA" w:rsidRDefault="000C4EFA" w:rsidP="000C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EFA" w:rsidRDefault="000C4E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EFA" w:rsidRDefault="000C4E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0C4EFA" w:rsidTr="000C4EFA">
      <w:tc>
        <w:tcPr>
          <w:tcW w:w="1800" w:type="dxa"/>
          <w:shd w:val="clear" w:color="auto" w:fill="auto"/>
          <w:vAlign w:val="center"/>
        </w:tcPr>
        <w:p w:rsidR="000C4EFA" w:rsidRDefault="000C4EFA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0C4EFA" w:rsidRDefault="000C4EF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27.05.2025</w:t>
          </w:r>
        </w:p>
        <w:p w:rsidR="000C4EFA" w:rsidRDefault="000C4EF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C4EFA" w:rsidRPr="000C4EFA" w:rsidRDefault="000C4EF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C4EFA" w:rsidRDefault="000C4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4EFA" w:rsidRDefault="000C4EFA" w:rsidP="000C4EFA">
      <w:pPr>
        <w:spacing w:after="0" w:line="240" w:lineRule="auto"/>
      </w:pPr>
      <w:r>
        <w:separator/>
      </w:r>
    </w:p>
  </w:footnote>
  <w:footnote w:type="continuationSeparator" w:id="0">
    <w:p w:rsidR="000C4EFA" w:rsidRDefault="000C4EFA" w:rsidP="000C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EFA" w:rsidRDefault="000C4EFA" w:rsidP="00B3668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C4EFA" w:rsidRDefault="000C4E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EFA" w:rsidRPr="000C4EFA" w:rsidRDefault="000C4EFA" w:rsidP="00B3668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C4EFA">
      <w:rPr>
        <w:rStyle w:val="a9"/>
        <w:rFonts w:ascii="Times New Roman" w:hAnsi="Times New Roman" w:cs="Times New Roman"/>
        <w:sz w:val="24"/>
      </w:rPr>
      <w:fldChar w:fldCharType="begin"/>
    </w:r>
    <w:r w:rsidRPr="000C4EFA">
      <w:rPr>
        <w:rStyle w:val="a9"/>
        <w:rFonts w:ascii="Times New Roman" w:hAnsi="Times New Roman" w:cs="Times New Roman"/>
        <w:sz w:val="24"/>
      </w:rPr>
      <w:instrText xml:space="preserve"> PAGE </w:instrText>
    </w:r>
    <w:r w:rsidRPr="000C4EFA">
      <w:rPr>
        <w:rStyle w:val="a9"/>
        <w:rFonts w:ascii="Times New Roman" w:hAnsi="Times New Roman" w:cs="Times New Roman"/>
        <w:sz w:val="24"/>
      </w:rPr>
      <w:fldChar w:fldCharType="separate"/>
    </w:r>
    <w:r w:rsidRPr="000C4EFA">
      <w:rPr>
        <w:rStyle w:val="a9"/>
        <w:rFonts w:ascii="Times New Roman" w:hAnsi="Times New Roman" w:cs="Times New Roman"/>
        <w:noProof/>
        <w:sz w:val="24"/>
      </w:rPr>
      <w:t>2</w:t>
    </w:r>
    <w:r w:rsidRPr="000C4EFA">
      <w:rPr>
        <w:rStyle w:val="a9"/>
        <w:rFonts w:ascii="Times New Roman" w:hAnsi="Times New Roman" w:cs="Times New Roman"/>
        <w:sz w:val="24"/>
      </w:rPr>
      <w:fldChar w:fldCharType="end"/>
    </w:r>
  </w:p>
  <w:p w:rsidR="000C4EFA" w:rsidRPr="000C4EFA" w:rsidRDefault="000C4EF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EFA" w:rsidRDefault="000C4E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FA"/>
    <w:rsid w:val="000C4EFA"/>
    <w:rsid w:val="000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9188-4544-442F-87F1-E04AFB5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EF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C4EFA"/>
    <w:rPr>
      <w:color w:val="154C94"/>
      <w:u w:val="single"/>
    </w:rPr>
  </w:style>
  <w:style w:type="paragraph" w:customStyle="1" w:styleId="msonormal0">
    <w:name w:val="msonormal"/>
    <w:basedOn w:val="a"/>
    <w:rsid w:val="000C4E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0C4EF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0C4E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0C4E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0C4EF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0C4EF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0C4EF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0C4EF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0C4EF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0C4EF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0C4EF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0C4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0C4EF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0C4EF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0C4E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0C4EF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0C4EF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0C4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0C4EF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0C4EF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0C4EF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0C4EF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0C4EF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0C4EF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0C4EF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0C4E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0C4EF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0C4E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0C4EF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0C4EF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0C4E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0C4EF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0C4EF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0C4EF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0C4E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0C4EF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0C4E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0C4EF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0C4EF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0C4EF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0C4E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0C4EF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0C4E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4E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4EF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C4EF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C4E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4EF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C4EF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C4EF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C4EFA"/>
    <w:rPr>
      <w:rFonts w:ascii="Symbol" w:hAnsi="Symbol" w:hint="default"/>
    </w:rPr>
  </w:style>
  <w:style w:type="character" w:customStyle="1" w:styleId="onewind3">
    <w:name w:val="onewind3"/>
    <w:basedOn w:val="a0"/>
    <w:rsid w:val="000C4EFA"/>
    <w:rPr>
      <w:rFonts w:ascii="Wingdings 3" w:hAnsi="Wingdings 3" w:hint="default"/>
    </w:rPr>
  </w:style>
  <w:style w:type="character" w:customStyle="1" w:styleId="onewind2">
    <w:name w:val="onewind2"/>
    <w:basedOn w:val="a0"/>
    <w:rsid w:val="000C4EFA"/>
    <w:rPr>
      <w:rFonts w:ascii="Wingdings 2" w:hAnsi="Wingdings 2" w:hint="default"/>
    </w:rPr>
  </w:style>
  <w:style w:type="character" w:customStyle="1" w:styleId="onewind">
    <w:name w:val="onewind"/>
    <w:basedOn w:val="a0"/>
    <w:rsid w:val="000C4EFA"/>
    <w:rPr>
      <w:rFonts w:ascii="Wingdings" w:hAnsi="Wingdings" w:hint="default"/>
    </w:rPr>
  </w:style>
  <w:style w:type="character" w:customStyle="1" w:styleId="rednoun">
    <w:name w:val="rednoun"/>
    <w:basedOn w:val="a0"/>
    <w:rsid w:val="000C4EFA"/>
  </w:style>
  <w:style w:type="character" w:customStyle="1" w:styleId="post">
    <w:name w:val="post"/>
    <w:basedOn w:val="a0"/>
    <w:rsid w:val="000C4E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4E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C4EF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C4EF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C4EFA"/>
    <w:rPr>
      <w:rFonts w:ascii="Arial" w:hAnsi="Arial" w:cs="Arial" w:hint="default"/>
    </w:rPr>
  </w:style>
  <w:style w:type="character" w:customStyle="1" w:styleId="snoskiindex">
    <w:name w:val="snoskiindex"/>
    <w:basedOn w:val="a0"/>
    <w:rsid w:val="000C4EF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C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EFA"/>
  </w:style>
  <w:style w:type="paragraph" w:styleId="a7">
    <w:name w:val="footer"/>
    <w:basedOn w:val="a"/>
    <w:link w:val="a8"/>
    <w:uiPriority w:val="99"/>
    <w:unhideWhenUsed/>
    <w:rsid w:val="000C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EFA"/>
  </w:style>
  <w:style w:type="character" w:styleId="a9">
    <w:name w:val="page number"/>
    <w:basedOn w:val="a0"/>
    <w:uiPriority w:val="99"/>
    <w:semiHidden/>
    <w:unhideWhenUsed/>
    <w:rsid w:val="000C4EFA"/>
  </w:style>
  <w:style w:type="table" w:styleId="aa">
    <w:name w:val="Table Grid"/>
    <w:basedOn w:val="a1"/>
    <w:uiPriority w:val="39"/>
    <w:rsid w:val="000C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6175</Words>
  <Characters>41746</Characters>
  <Application>Microsoft Office Word</Application>
  <DocSecurity>0</DocSecurity>
  <Lines>1098</Lines>
  <Paragraphs>737</Paragraphs>
  <ScaleCrop>false</ScaleCrop>
  <Company/>
  <LinksUpToDate>false</LinksUpToDate>
  <CharactersWithSpaces>47184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2025-05-27T11:39:00Z</dcterms:created>
  <dcterms:modified xsi:type="dcterms:W3CDTF">2025-05-27T11:48:00Z</dcterms:modified>
</cp:coreProperties>
</file>